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02" w:rsidRPr="00F93F9C" w:rsidRDefault="005B6502" w:rsidP="005B6502">
      <w:pPr>
        <w:pStyle w:val="a3"/>
        <w:spacing w:before="162"/>
        <w:jc w:val="center"/>
        <w:rPr>
          <w:rFonts w:ascii="Times New Roman" w:hAnsi="Times New Roman"/>
          <w:b/>
          <w:sz w:val="22"/>
          <w:szCs w:val="22"/>
          <w:lang w:val="el-GR"/>
        </w:rPr>
      </w:pPr>
      <w:r w:rsidRPr="00F93F9C">
        <w:rPr>
          <w:rFonts w:ascii="Times New Roman" w:hAnsi="Times New Roman"/>
          <w:b/>
          <w:sz w:val="22"/>
          <w:szCs w:val="22"/>
          <w:lang w:val="el-GR"/>
        </w:rPr>
        <w:t xml:space="preserve">ΠΑΡΑΡΤΗΜΑ </w:t>
      </w:r>
      <w:r>
        <w:rPr>
          <w:rFonts w:ascii="Times New Roman" w:hAnsi="Times New Roman"/>
          <w:b/>
          <w:sz w:val="22"/>
          <w:szCs w:val="22"/>
          <w:lang w:val="en-US"/>
        </w:rPr>
        <w:t xml:space="preserve">A: </w:t>
      </w:r>
      <w:r>
        <w:rPr>
          <w:rFonts w:ascii="Times New Roman" w:hAnsi="Times New Roman"/>
          <w:b/>
          <w:sz w:val="22"/>
          <w:szCs w:val="22"/>
          <w:lang w:val="el-GR"/>
        </w:rPr>
        <w:t xml:space="preserve">ΠΙΝΑΚΑΣ  </w:t>
      </w:r>
      <w:r w:rsidRPr="00F93F9C">
        <w:rPr>
          <w:rFonts w:ascii="Times New Roman" w:hAnsi="Times New Roman"/>
          <w:b/>
          <w:sz w:val="22"/>
          <w:szCs w:val="22"/>
          <w:lang w:val="el-GR"/>
        </w:rPr>
        <w:t>ΣΥΜΜΟΡΦΩΣΗΣ</w:t>
      </w:r>
    </w:p>
    <w:tbl>
      <w:tblPr>
        <w:tblW w:w="9757" w:type="dxa"/>
        <w:tblInd w:w="-10" w:type="dxa"/>
        <w:tblLayout w:type="fixed"/>
        <w:tblLook w:val="0000" w:firstRow="0" w:lastRow="0" w:firstColumn="0" w:lastColumn="0" w:noHBand="0" w:noVBand="0"/>
      </w:tblPr>
      <w:tblGrid>
        <w:gridCol w:w="572"/>
        <w:gridCol w:w="6946"/>
        <w:gridCol w:w="851"/>
        <w:gridCol w:w="1388"/>
      </w:tblGrid>
      <w:tr w:rsidR="005B6502" w:rsidRPr="00F93F9C" w:rsidTr="002575B8">
        <w:tc>
          <w:tcPr>
            <w:tcW w:w="572" w:type="dxa"/>
            <w:tcBorders>
              <w:top w:val="single" w:sz="4" w:space="0" w:color="000000"/>
              <w:left w:val="single" w:sz="4" w:space="0" w:color="000000"/>
              <w:bottom w:val="single" w:sz="4" w:space="0" w:color="000000"/>
            </w:tcBorders>
            <w:shd w:val="clear" w:color="auto" w:fill="auto"/>
            <w:vAlign w:val="center"/>
          </w:tcPr>
          <w:p w:rsidR="005B6502" w:rsidRPr="00F93F9C" w:rsidRDefault="005B6502" w:rsidP="002575B8">
            <w:pPr>
              <w:widowControl w:val="0"/>
              <w:suppressAutoHyphens/>
              <w:jc w:val="both"/>
              <w:rPr>
                <w:b/>
                <w:sz w:val="20"/>
                <w:szCs w:val="20"/>
                <w:lang w:val="el-GR" w:eastAsia="zh-CN"/>
              </w:rPr>
            </w:pPr>
            <w:r w:rsidRPr="00F93F9C">
              <w:rPr>
                <w:b/>
                <w:sz w:val="20"/>
                <w:szCs w:val="20"/>
                <w:lang w:val="el-GR" w:eastAsia="zh-CN"/>
              </w:rPr>
              <w:t>Α/Α</w:t>
            </w:r>
          </w:p>
        </w:tc>
        <w:tc>
          <w:tcPr>
            <w:tcW w:w="6946" w:type="dxa"/>
            <w:tcBorders>
              <w:top w:val="single" w:sz="4" w:space="0" w:color="000000"/>
              <w:left w:val="single" w:sz="4" w:space="0" w:color="000000"/>
              <w:bottom w:val="single" w:sz="4" w:space="0" w:color="000000"/>
            </w:tcBorders>
            <w:shd w:val="clear" w:color="auto" w:fill="auto"/>
            <w:vAlign w:val="center"/>
          </w:tcPr>
          <w:p w:rsidR="005B6502" w:rsidRPr="00F93F9C" w:rsidRDefault="005B6502" w:rsidP="002575B8">
            <w:pPr>
              <w:widowControl w:val="0"/>
              <w:suppressAutoHyphens/>
              <w:jc w:val="both"/>
              <w:rPr>
                <w:b/>
                <w:sz w:val="20"/>
                <w:szCs w:val="20"/>
                <w:lang w:val="el-GR" w:eastAsia="zh-CN"/>
              </w:rPr>
            </w:pPr>
            <w:r w:rsidRPr="00F93F9C">
              <w:rPr>
                <w:b/>
                <w:sz w:val="20"/>
                <w:szCs w:val="20"/>
                <w:lang w:val="el-GR" w:eastAsia="zh-CN"/>
              </w:rPr>
              <w:t>ΤΕΧΝΙΚΑ ΧΑΡΑΚΤΗΡΙΣΤΙΚΑ (ΑΠΑΙΤΗΣΗ: ΝΑΙ ΣΕ ΟΛΑ)</w:t>
            </w:r>
          </w:p>
        </w:tc>
        <w:tc>
          <w:tcPr>
            <w:tcW w:w="851" w:type="dxa"/>
            <w:tcBorders>
              <w:top w:val="single" w:sz="4" w:space="0" w:color="000000"/>
              <w:left w:val="single" w:sz="4" w:space="0" w:color="000000"/>
              <w:bottom w:val="single" w:sz="4" w:space="0" w:color="000000"/>
            </w:tcBorders>
            <w:shd w:val="clear" w:color="auto" w:fill="auto"/>
            <w:vAlign w:val="center"/>
          </w:tcPr>
          <w:p w:rsidR="005B6502" w:rsidRPr="00F93F9C" w:rsidRDefault="005B6502" w:rsidP="002575B8">
            <w:pPr>
              <w:widowControl w:val="0"/>
              <w:suppressAutoHyphens/>
              <w:jc w:val="both"/>
              <w:rPr>
                <w:b/>
                <w:sz w:val="20"/>
                <w:szCs w:val="20"/>
                <w:lang w:val="el-GR" w:eastAsia="zh-CN"/>
              </w:rPr>
            </w:pPr>
            <w:r w:rsidRPr="00F93F9C">
              <w:rPr>
                <w:b/>
                <w:sz w:val="20"/>
                <w:szCs w:val="20"/>
                <w:lang w:val="el-GR" w:eastAsia="zh-CN"/>
              </w:rPr>
              <w:t xml:space="preserve">    ΑΠΑΙΤΗΣΗ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02" w:rsidRPr="00F93F9C" w:rsidRDefault="005B6502" w:rsidP="002575B8">
            <w:pPr>
              <w:widowControl w:val="0"/>
              <w:suppressAutoHyphens/>
              <w:jc w:val="both"/>
              <w:rPr>
                <w:b/>
                <w:sz w:val="20"/>
                <w:szCs w:val="20"/>
                <w:lang w:val="el-GR" w:eastAsia="zh-CN"/>
              </w:rPr>
            </w:pPr>
            <w:r w:rsidRPr="00F93F9C">
              <w:rPr>
                <w:b/>
                <w:sz w:val="20"/>
                <w:szCs w:val="20"/>
                <w:lang w:val="el-GR" w:eastAsia="zh-CN"/>
              </w:rPr>
              <w:t xml:space="preserve">ΑΠΑΝΤΗΣΗ ΝΑΙ/ΟΧΙ /ΠΕΡΙΓΡΑΦΗ </w:t>
            </w: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rPr>
                <w:sz w:val="22"/>
                <w:szCs w:val="22"/>
                <w:lang w:val="el-GR" w:eastAsia="zh-CN"/>
              </w:rPr>
            </w:pPr>
            <w:r w:rsidRPr="00F93F9C">
              <w:rPr>
                <w:b/>
                <w:sz w:val="22"/>
                <w:szCs w:val="22"/>
                <w:lang w:val="el-GR" w:eastAsia="zh-CN"/>
              </w:rPr>
              <w:t xml:space="preserve"> ΓΕΝΙΚΑ ΧΑΡΑΚΤΗΡΙΣΤΙΚΑ</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1</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rPr>
                <w:sz w:val="22"/>
                <w:szCs w:val="22"/>
                <w:lang w:val="el-GR" w:eastAsia="zh-CN"/>
              </w:rPr>
            </w:pPr>
            <w:r w:rsidRPr="00F93F9C">
              <w:rPr>
                <w:sz w:val="22"/>
                <w:szCs w:val="22"/>
                <w:lang w:val="el-GR" w:eastAsia="zh-CN"/>
              </w:rPr>
              <w:t xml:space="preserve"> Τα προσφερόμενα προϊόντα να είναι αμεταχείριστα και σε άριστη κατάσταση. </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2</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Τα προσφερόμενα  προϊόντα να είναι γνήσια αντιπροσωπείας – αυθεντικά προϊόντα των κατασκευαστριών εταιριών των μηχανημάτων (</w:t>
            </w:r>
            <w:r w:rsidRPr="00F93F9C">
              <w:rPr>
                <w:sz w:val="22"/>
                <w:szCs w:val="22"/>
                <w:lang w:val="en-US" w:eastAsia="zh-CN"/>
              </w:rPr>
              <w:t>original</w:t>
            </w:r>
            <w:r w:rsidRPr="00F93F9C">
              <w:rPr>
                <w:sz w:val="22"/>
                <w:szCs w:val="22"/>
                <w:lang w:val="el-GR" w:eastAsia="zh-CN"/>
              </w:rPr>
              <w:t xml:space="preserve">) ή ισοδύναμα (καινούργια συμβατά), </w:t>
            </w:r>
            <w:r w:rsidRPr="00F93F9C">
              <w:rPr>
                <w:b/>
                <w:sz w:val="22"/>
                <w:szCs w:val="22"/>
                <w:lang w:val="el-GR" w:eastAsia="zh-CN"/>
              </w:rPr>
              <w:t>όταν αποδεδειγμένα δεν υπάρχουν γνήσια στην αγορά σε ορισμένα εκ των εκτυπωτικών μηχανημάτων</w:t>
            </w:r>
            <w:r w:rsidRPr="00F93F9C">
              <w:rPr>
                <w:sz w:val="22"/>
                <w:szCs w:val="22"/>
                <w:lang w:val="el-GR" w:eastAsia="zh-CN"/>
              </w:rPr>
              <w:t xml:space="preserve">. Τα ισοδύναμα θα πρέπει να είναι κατασκευασμένα από οικολογικό χημικό γραφίτη και να έχουν πιστοποίηση κατασκευαστή κατά </w:t>
            </w:r>
            <w:r w:rsidRPr="00F93F9C">
              <w:rPr>
                <w:sz w:val="22"/>
                <w:szCs w:val="22"/>
                <w:lang w:val="en-US" w:eastAsia="zh-CN"/>
              </w:rPr>
              <w:t>ISO</w:t>
            </w:r>
            <w:r w:rsidRPr="00F93F9C">
              <w:rPr>
                <w:sz w:val="22"/>
                <w:szCs w:val="22"/>
                <w:lang w:val="el-GR" w:eastAsia="zh-CN"/>
              </w:rPr>
              <w:t xml:space="preserve"> 9001 και </w:t>
            </w:r>
            <w:r w:rsidRPr="00F93F9C">
              <w:rPr>
                <w:sz w:val="22"/>
                <w:szCs w:val="22"/>
                <w:lang w:val="en-US" w:eastAsia="zh-CN"/>
              </w:rPr>
              <w:t>ISO</w:t>
            </w:r>
            <w:r w:rsidRPr="00F93F9C">
              <w:rPr>
                <w:sz w:val="22"/>
                <w:szCs w:val="22"/>
                <w:lang w:val="el-GR" w:eastAsia="zh-CN"/>
              </w:rPr>
              <w:t xml:space="preserve"> 14001 ή αντίστοιχη.</w:t>
            </w:r>
          </w:p>
          <w:p w:rsidR="005B6502" w:rsidRPr="00F93F9C" w:rsidRDefault="005B6502" w:rsidP="002575B8">
            <w:pPr>
              <w:widowControl w:val="0"/>
              <w:suppressAutoHyphens/>
              <w:jc w:val="both"/>
              <w:rPr>
                <w:sz w:val="22"/>
                <w:szCs w:val="22"/>
                <w:lang w:val="el-GR" w:eastAsia="zh-CN"/>
              </w:rPr>
            </w:pPr>
            <w:r w:rsidRPr="00F93F9C">
              <w:rPr>
                <w:b/>
                <w:sz w:val="22"/>
                <w:szCs w:val="22"/>
                <w:lang w:val="el-GR" w:eastAsia="zh-CN"/>
              </w:rPr>
              <w:t>Οι προμηθευτές των καινούργιων συμβατών προϊόντων οφείλουν με την τεχνική προσφορά να προσκομίσουν  υπεύθυνη δήλωση ότι τα προσφερόμενα αναλώσιμα είναι κατάλληλα προς χρήση για τους εκτυπωτές για τους οποίους προορίζονται.</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3</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Τα προσφερόμενα είδη θα έχουν ημερομηνία λήξης τουλάχιστο δύο (2) χρόνια μετά την ημερομηνία παραλαβής. Εναλλακτικά, θα πρέπει να έχουν ημερομηνία παραγωγής το πολύ δυο μήνες πριν την ημερομηνία παράδοσης.</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rPr>
                <w:sz w:val="22"/>
                <w:szCs w:val="22"/>
                <w:lang w:val="el-GR" w:eastAsia="zh-CN"/>
              </w:rPr>
            </w:pPr>
            <w:r w:rsidRPr="00F93F9C">
              <w:rPr>
                <w:b/>
                <w:sz w:val="22"/>
                <w:szCs w:val="22"/>
                <w:lang w:val="el-GR" w:eastAsia="zh-CN"/>
              </w:rPr>
              <w:t xml:space="preserve"> ΣΥΣΚΕΥΑΣΙΑ</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4</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 xml:space="preserve"> Κάθε αναλώσιμο θα είναι συσκευασμένο αεροστεγώς (</w:t>
            </w:r>
            <w:proofErr w:type="spellStart"/>
            <w:r w:rsidRPr="00F93F9C">
              <w:rPr>
                <w:sz w:val="22"/>
                <w:szCs w:val="22"/>
                <w:lang w:val="el-GR" w:eastAsia="zh-CN"/>
              </w:rPr>
              <w:t>προσυσκευασία</w:t>
            </w:r>
            <w:proofErr w:type="spellEnd"/>
            <w:r w:rsidRPr="00F93F9C">
              <w:rPr>
                <w:sz w:val="22"/>
                <w:szCs w:val="22"/>
                <w:lang w:val="el-GR" w:eastAsia="zh-CN"/>
              </w:rPr>
              <w:t>).</w:t>
            </w:r>
          </w:p>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Κ</w:t>
            </w:r>
            <w:r w:rsidR="003A5622">
              <w:rPr>
                <w:sz w:val="22"/>
                <w:szCs w:val="22"/>
                <w:lang w:val="el-GR" w:eastAsia="zh-CN"/>
              </w:rPr>
              <w:t>ά</w:t>
            </w:r>
            <w:bookmarkStart w:id="0" w:name="_GoBack"/>
            <w:bookmarkEnd w:id="0"/>
            <w:r w:rsidRPr="00F93F9C">
              <w:rPr>
                <w:sz w:val="22"/>
                <w:szCs w:val="22"/>
                <w:lang w:val="el-GR" w:eastAsia="zh-CN"/>
              </w:rPr>
              <w:t xml:space="preserve">θε </w:t>
            </w:r>
            <w:proofErr w:type="spellStart"/>
            <w:r w:rsidRPr="00F93F9C">
              <w:rPr>
                <w:sz w:val="22"/>
                <w:szCs w:val="22"/>
                <w:lang w:val="el-GR" w:eastAsia="zh-CN"/>
              </w:rPr>
              <w:t>προσυσκευασμένο</w:t>
            </w:r>
            <w:proofErr w:type="spellEnd"/>
            <w:r w:rsidRPr="00F93F9C">
              <w:rPr>
                <w:sz w:val="22"/>
                <w:szCs w:val="22"/>
                <w:lang w:val="el-GR" w:eastAsia="zh-CN"/>
              </w:rPr>
              <w:t xml:space="preserve"> αναλώσιμο θα τοποθετείται εντός χάρτινης σκληρής συσκευασίας (εξωτερική συσκευασία).</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rPr>
                <w:sz w:val="22"/>
                <w:szCs w:val="22"/>
                <w:lang w:val="el-GR" w:eastAsia="zh-CN"/>
              </w:rPr>
            </w:pPr>
            <w:r w:rsidRPr="00F93F9C">
              <w:rPr>
                <w:b/>
                <w:sz w:val="22"/>
                <w:szCs w:val="22"/>
                <w:lang w:val="el-GR" w:eastAsia="zh-CN"/>
              </w:rPr>
              <w:t>ΕΠΙΣΗΜΑΝΣΕΙΣ</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5</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 xml:space="preserve"> Στην εξωτερική συσκευασία θα αναγράφονται στην ελληνική ή στην αγγλική ευκρινώς :</w:t>
            </w:r>
          </w:p>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α) Οι τύποι των συσκευών για τους οποίους προορίζονται</w:t>
            </w:r>
          </w:p>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β) η επωνυμία του κατασκευαστή και το εμπορικό σήμα (εάν υπάρχει)</w:t>
            </w:r>
          </w:p>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γ) η ημερομηνία λήξης ή εναλλακτικά η ημερομηνία παραγωγής ή ανακατασκευής.</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rPr>
                <w:sz w:val="22"/>
                <w:szCs w:val="22"/>
                <w:lang w:val="el-GR" w:eastAsia="zh-CN"/>
              </w:rPr>
            </w:pPr>
            <w:r w:rsidRPr="00F93F9C">
              <w:rPr>
                <w:b/>
                <w:sz w:val="22"/>
                <w:szCs w:val="22"/>
                <w:lang w:val="el-GR" w:eastAsia="zh-CN"/>
              </w:rPr>
              <w:t>ΕΙΔΙΚΟΙ ΟΡΟΙ</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6</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Να παρέχεται η δυνατότητα συλλογής των κενών μελανοδοχείων. Ο προμηθευτής θα πρέπει να διαθέτει στην Υπηρεσία κατάλληλους κάδους για την συλλογή των κενών μελανοδοχείων και θα αναλαμβάνει την υποχρέωση της διακίνησής τους  για χρονικό διάστημα ίσο με αυτό της εγγύησης καλής λειτουργίας .</w:t>
            </w:r>
          </w:p>
          <w:p w:rsidR="005B6502" w:rsidRPr="00F93F9C" w:rsidRDefault="005B6502" w:rsidP="002575B8">
            <w:pPr>
              <w:widowControl w:val="0"/>
              <w:suppressAutoHyphens/>
              <w:jc w:val="both"/>
              <w:rPr>
                <w:sz w:val="22"/>
                <w:szCs w:val="22"/>
                <w:lang w:val="el-GR" w:eastAsia="zh-CN"/>
              </w:rPr>
            </w:pP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7</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el-GR"/>
              </w:rPr>
              <w:t>Εφόσον κατά τη διάρκεια ισχύος της σύμβασης αντικατασταθεί εκτυπωτικό μηχάνημα με άλλο που δεν προβλέπεται από την σύμβαση, ο προμηθευτής υποχρεούται να αντικαταστήσει το είδος αναλώσιμου υλικού (</w:t>
            </w:r>
            <w:r w:rsidRPr="00F93F9C">
              <w:rPr>
                <w:sz w:val="22"/>
                <w:szCs w:val="22"/>
                <w:lang w:val="en-US" w:eastAsia="el-GR"/>
              </w:rPr>
              <w:t>toner</w:t>
            </w:r>
            <w:r w:rsidRPr="00F93F9C">
              <w:rPr>
                <w:sz w:val="22"/>
                <w:szCs w:val="22"/>
                <w:lang w:val="el-GR" w:eastAsia="el-GR"/>
              </w:rPr>
              <w:t xml:space="preserve">, μελάνι) για το οποίο έχει υποβάλει την προσφορά του, με κατάλληλο αναλώσιμο υλικό για το νέο τύπο μηχανήματος που θα προκύψει, σύμφωνα με τις τρέχουσες τιμές της αγοράς.  </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8</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Να παρέχεται εγγύηση καλής λειτουργίας των μελανιών τουλάχιστον δύο (2) ετών από την ημερομηνία ανάθεσης της προμήθειας.</w:t>
            </w:r>
          </w:p>
          <w:p w:rsidR="005B6502" w:rsidRPr="00F93F9C" w:rsidRDefault="005B6502" w:rsidP="002575B8">
            <w:pPr>
              <w:widowControl w:val="0"/>
              <w:suppressAutoHyphens/>
              <w:jc w:val="both"/>
              <w:rPr>
                <w:sz w:val="22"/>
                <w:szCs w:val="22"/>
                <w:lang w:val="el-GR" w:eastAsia="zh-CN"/>
              </w:rPr>
            </w:pP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9</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rPr>
                <w:sz w:val="22"/>
                <w:szCs w:val="22"/>
                <w:lang w:val="el-GR" w:eastAsia="zh-CN"/>
              </w:rPr>
            </w:pPr>
            <w:r w:rsidRPr="00F93F9C">
              <w:rPr>
                <w:sz w:val="22"/>
                <w:szCs w:val="22"/>
                <w:lang w:val="el-GR" w:eastAsia="zh-CN"/>
              </w:rPr>
              <w:t>Να παρέχεται εγγύηση άμεσης αντικατάστασης ελαττωματικών προϊόντων.</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napToGrid w:val="0"/>
              <w:spacing w:line="360" w:lineRule="auto"/>
              <w:jc w:val="both"/>
              <w:rPr>
                <w:color w:val="FF0000"/>
                <w:sz w:val="22"/>
                <w:szCs w:val="22"/>
                <w:lang w:val="el-GR" w:eastAsia="zh-CN"/>
              </w:rPr>
            </w:pPr>
          </w:p>
        </w:tc>
      </w:tr>
      <w:tr w:rsidR="005B6502" w:rsidRPr="00F93F9C" w:rsidTr="002575B8">
        <w:tc>
          <w:tcPr>
            <w:tcW w:w="572"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10</w:t>
            </w:r>
          </w:p>
        </w:tc>
        <w:tc>
          <w:tcPr>
            <w:tcW w:w="6946"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jc w:val="both"/>
              <w:rPr>
                <w:sz w:val="22"/>
                <w:szCs w:val="22"/>
                <w:lang w:val="el-GR" w:eastAsia="zh-CN"/>
              </w:rPr>
            </w:pPr>
            <w:r w:rsidRPr="00F93F9C">
              <w:rPr>
                <w:sz w:val="22"/>
                <w:szCs w:val="22"/>
                <w:lang w:val="el-GR" w:eastAsia="zh-CN"/>
              </w:rPr>
              <w:t>Σε περίπτωση που διαπιστωθούν από την υπηρεσία ελαττώματα (π.χ. ανομοιόμορφη κατανομή ,μη αναγνώριση τους από το μηχάνημα) τα οποία έχουν σαν αποτέλεσμα την αλλοίωση της ποιότητας εκτύπωσης (περιοδικά ή μη), ο προμηθευτής υποχρεούται να αντικαταστήσει τα ελαττωματικά είδη που εντοπίστηκαν και χρησιμοποιήθηκαν μερικώς το αργότερο εντός τριών (3) εργάσιμων ημερών.</w:t>
            </w:r>
          </w:p>
        </w:tc>
        <w:tc>
          <w:tcPr>
            <w:tcW w:w="851" w:type="dxa"/>
            <w:tcBorders>
              <w:top w:val="single" w:sz="4" w:space="0" w:color="000000"/>
              <w:left w:val="single" w:sz="4" w:space="0" w:color="000000"/>
              <w:bottom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r w:rsidRPr="00F93F9C">
              <w:rPr>
                <w:sz w:val="22"/>
                <w:szCs w:val="22"/>
                <w:lang w:val="el-GR" w:eastAsia="zh-CN"/>
              </w:rPr>
              <w:t>ΝΑΙ</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5B6502" w:rsidRPr="00F93F9C" w:rsidRDefault="005B6502" w:rsidP="002575B8">
            <w:pPr>
              <w:widowControl w:val="0"/>
              <w:suppressAutoHyphens/>
              <w:spacing w:line="360" w:lineRule="auto"/>
              <w:jc w:val="both"/>
              <w:rPr>
                <w:sz w:val="22"/>
                <w:szCs w:val="22"/>
                <w:lang w:val="el-GR" w:eastAsia="zh-CN"/>
              </w:rPr>
            </w:pPr>
          </w:p>
        </w:tc>
      </w:tr>
    </w:tbl>
    <w:p w:rsidR="00315D3E" w:rsidRDefault="00315D3E"/>
    <w:sectPr w:rsidR="00315D3E" w:rsidSect="005B6502">
      <w:pgSz w:w="11906" w:h="16838"/>
      <w:pgMar w:top="568"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02"/>
    <w:rsid w:val="00136A67"/>
    <w:rsid w:val="00315D3E"/>
    <w:rsid w:val="003A5622"/>
    <w:rsid w:val="005B6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950E"/>
  <w15:chartTrackingRefBased/>
  <w15:docId w15:val="{ACEB3084-EC87-4A6D-B597-010E1DA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502"/>
    <w:pPr>
      <w:spacing w:after="0" w:line="240" w:lineRule="auto"/>
    </w:pPr>
    <w:rPr>
      <w:rFonts w:ascii="Times New Roman" w:eastAsia="Times New Roman" w:hAnsi="Times New Roman" w:cs="Times New Roman"/>
      <w:sz w:val="24"/>
      <w:szCs w:val="24"/>
      <w:lang w:val="en-GB"/>
    </w:rPr>
  </w:style>
  <w:style w:type="paragraph" w:styleId="4">
    <w:name w:val="heading 4"/>
    <w:basedOn w:val="a"/>
    <w:link w:val="4Char"/>
    <w:uiPriority w:val="1"/>
    <w:qFormat/>
    <w:rsid w:val="005B6502"/>
    <w:pPr>
      <w:widowControl w:val="0"/>
      <w:autoSpaceDE w:val="0"/>
      <w:autoSpaceDN w:val="0"/>
      <w:jc w:val="center"/>
      <w:outlineLvl w:val="3"/>
    </w:pPr>
    <w:rPr>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1"/>
    <w:rsid w:val="005B6502"/>
    <w:rPr>
      <w:rFonts w:ascii="Times New Roman" w:eastAsia="Times New Roman" w:hAnsi="Times New Roman" w:cs="Times New Roman"/>
      <w:b/>
      <w:bCs/>
      <w:lang w:val="x-none"/>
    </w:rPr>
  </w:style>
  <w:style w:type="paragraph" w:styleId="a3">
    <w:name w:val="Body Text"/>
    <w:basedOn w:val="a"/>
    <w:link w:val="Char"/>
    <w:qFormat/>
    <w:rsid w:val="005B6502"/>
    <w:rPr>
      <w:rFonts w:ascii="Arial" w:hAnsi="Arial"/>
      <w:szCs w:val="20"/>
      <w:lang w:val="x-none" w:eastAsia="x-none"/>
    </w:rPr>
  </w:style>
  <w:style w:type="character" w:customStyle="1" w:styleId="Char">
    <w:name w:val="Σώμα κειμένου Char"/>
    <w:basedOn w:val="a0"/>
    <w:link w:val="a3"/>
    <w:rsid w:val="005B6502"/>
    <w:rPr>
      <w:rFonts w:ascii="Arial" w:eastAsia="Times New Roman" w:hAnsi="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dc:creator>
  <cp:keywords/>
  <dc:description/>
  <cp:lastModifiedBy>Windows User</cp:lastModifiedBy>
  <cp:revision>3</cp:revision>
  <dcterms:created xsi:type="dcterms:W3CDTF">2025-05-21T13:53:00Z</dcterms:created>
  <dcterms:modified xsi:type="dcterms:W3CDTF">2025-05-22T12:51:00Z</dcterms:modified>
</cp:coreProperties>
</file>